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064" w:type="dxa"/>
        <w:tblInd w:w="279" w:type="dxa"/>
        <w:tblLook w:val="04A0" w:firstRow="1" w:lastRow="0" w:firstColumn="1" w:lastColumn="0" w:noHBand="0" w:noVBand="1"/>
      </w:tblPr>
      <w:tblGrid>
        <w:gridCol w:w="5228"/>
        <w:gridCol w:w="4836"/>
      </w:tblGrid>
      <w:tr w:rsidR="00166118" w:rsidRPr="006B0FD6" w14:paraId="57CF2BE7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4AEF6BB5" w14:textId="77777777" w:rsidR="00166118" w:rsidRPr="006B0FD6" w:rsidRDefault="00166118" w:rsidP="00CC5574">
            <w:pPr>
              <w:spacing w:before="120"/>
              <w:jc w:val="center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>C</w:t>
            </w: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оглашение о конфиденциальности</w:t>
            </w:r>
          </w:p>
        </w:tc>
      </w:tr>
      <w:tr w:rsidR="00166118" w:rsidRPr="00166118" w14:paraId="1D3C46CB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41D420F3" w14:textId="77777777" w:rsidR="00166118" w:rsidRPr="00FD042F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FD042F">
              <w:rPr>
                <w:rFonts w:ascii="Times New Roman" w:eastAsia="Malgun Gothic" w:hAnsi="Times New Roman" w:cs="Times New Roman"/>
                <w:szCs w:val="20"/>
              </w:rPr>
              <w:t>Настоящее Соглашение о конфиденциальности (далее по тексту «</w:t>
            </w:r>
            <w:r w:rsidRPr="00FD042F">
              <w:rPr>
                <w:rFonts w:ascii="Times New Roman" w:eastAsia="Malgun Gothic" w:hAnsi="Times New Roman" w:cs="Times New Roman"/>
                <w:b/>
                <w:szCs w:val="20"/>
              </w:rPr>
              <w:t>Соглашение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>») от «___» ___________ 20 ___ г. заключено между:</w:t>
            </w:r>
          </w:p>
          <w:p w14:paraId="0200D090" w14:textId="2DCBD23E" w:rsidR="00166118" w:rsidRPr="00FD042F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Товариществом с ограниченной ответственностью «</w:t>
            </w: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  <w:t>KMG</w:t>
            </w: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  <w:t>PetroChem</w:t>
            </w:r>
            <w:proofErr w:type="spellEnd"/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»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, созданное в соответствии с законодательством Республики Казахстан, в лице Заместителя Председателя Правления 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по проектам 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г-на </w:t>
            </w:r>
            <w:proofErr w:type="spellStart"/>
            <w:r w:rsidRPr="00704767">
              <w:rPr>
                <w:rFonts w:ascii="Times New Roman" w:eastAsia="Malgun Gothic" w:hAnsi="Times New Roman" w:cs="Times New Roman"/>
                <w:b/>
                <w:szCs w:val="20"/>
              </w:rPr>
              <w:t>Кейкина</w:t>
            </w:r>
            <w:proofErr w:type="spellEnd"/>
            <w:r w:rsidRPr="00704767">
              <w:rPr>
                <w:rFonts w:ascii="Times New Roman" w:eastAsia="Malgun Gothic" w:hAnsi="Times New Roman" w:cs="Times New Roman"/>
                <w:b/>
                <w:szCs w:val="20"/>
              </w:rPr>
              <w:t xml:space="preserve"> Нурлан </w:t>
            </w:r>
            <w:proofErr w:type="spellStart"/>
            <w:r w:rsidRPr="00704767">
              <w:rPr>
                <w:rFonts w:ascii="Times New Roman" w:eastAsia="Malgun Gothic" w:hAnsi="Times New Roman" w:cs="Times New Roman"/>
                <w:b/>
                <w:szCs w:val="20"/>
              </w:rPr>
              <w:t>Койшиевича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szCs w:val="20"/>
              </w:rPr>
              <w:t>,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действующего на основании доверенности </w:t>
            </w:r>
            <w:proofErr w:type="gramStart"/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>№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>16-2023</w:t>
            </w:r>
            <w:proofErr w:type="gramEnd"/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от 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>27 марта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202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>3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года, с одной стороны и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 xml:space="preserve">  </w:t>
            </w:r>
          </w:p>
          <w:p w14:paraId="744DE652" w14:textId="5936BCF9" w:rsidR="00166118" w:rsidRPr="00FD042F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____________________</w:t>
            </w:r>
            <w:r w:rsidRPr="00FD042F">
              <w:rPr>
                <w:rFonts w:ascii="Times New Roman" w:eastAsia="Malgun Gothic" w:hAnsi="Times New Roman" w:cs="Times New Roman"/>
                <w:caps/>
                <w:szCs w:val="20"/>
              </w:rPr>
              <w:t>,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созданное в соответствии с законодательством ______________, в лице _____________________________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 xml:space="preserve">, действующего на основе 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Устава, с другой стороны, </w:t>
            </w:r>
          </w:p>
          <w:p w14:paraId="6B89D8F7" w14:textId="77777777" w:rsidR="00166118" w:rsidRPr="00FD042F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>при совместном упоминании именуемые «Стороны», а в отдельности – «Сторона», заключили настоящее Соглашение о нижеследующем:</w:t>
            </w:r>
          </w:p>
        </w:tc>
      </w:tr>
      <w:tr w:rsidR="00166118" w:rsidRPr="00166118" w14:paraId="5B6D6952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2C74989D" w14:textId="3852392A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Поскольку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Раскрывающая сторона имеет намерение в соответствии с условиями Соглашения, раскрыть Получающей стороне информацию, которая считается конфиденциальной и которая необходима Получающей стороне в рамках </w:t>
            </w:r>
            <w:r>
              <w:rPr>
                <w:rFonts w:ascii="Times New Roman" w:eastAsia="Malgun Gothic" w:hAnsi="Times New Roman" w:cs="Times New Roman"/>
                <w:szCs w:val="20"/>
              </w:rPr>
              <w:t>проектов, реализуемых ТОО «</w:t>
            </w:r>
            <w:r>
              <w:rPr>
                <w:rFonts w:ascii="Times New Roman" w:eastAsia="Malgun Gothic" w:hAnsi="Times New Roman" w:cs="Times New Roman"/>
                <w:szCs w:val="20"/>
                <w:lang w:val="en-US"/>
              </w:rPr>
              <w:t>KMG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/>
              </w:rPr>
              <w:t>Petrochem</w:t>
            </w:r>
            <w:r>
              <w:rPr>
                <w:rFonts w:ascii="Times New Roman" w:eastAsia="Malgun Gothic" w:hAnsi="Times New Roman" w:cs="Times New Roman"/>
                <w:szCs w:val="20"/>
              </w:rPr>
              <w:t>»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(далее - </w:t>
            </w: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Проект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).</w:t>
            </w:r>
          </w:p>
          <w:p w14:paraId="100F81B9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В следствие вышесказанного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, учитывая взаимные договоренности, Стороны пришли к соглашению о нижеследующем:</w:t>
            </w:r>
          </w:p>
        </w:tc>
      </w:tr>
      <w:tr w:rsidR="00166118" w:rsidRPr="006C435C" w14:paraId="4F3E4E5A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0F6E488E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Определения</w:t>
            </w:r>
          </w:p>
          <w:p w14:paraId="14E23A4B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Основная цель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– Стороны рассматривают возможность вступления в деловые отношения для предоставления определенных специализированных услуг включая, но не ограничиваясь взаимодействие Сторон в рамках реализации Проекта.</w:t>
            </w:r>
          </w:p>
          <w:p w14:paraId="45E30665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Раскрывающая сторона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- одна из Сторон настоящего Соглашения, передающая другой Стороне Конфиденциальную информацию.</w:t>
            </w:r>
          </w:p>
          <w:p w14:paraId="31791E8B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Принимающая сторона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- одна из Сторон настоящего Соглашения, принимающая от другой Стороны Конфиденциальную информацию.</w:t>
            </w:r>
          </w:p>
          <w:p w14:paraId="0E9589C6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 xml:space="preserve">Конфиденциальная информация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- любая информация технического, коммерческого, юридического или какого-либо иного характера, передаваемая как письменно или устно, так и в электронном виде, напрямую или косвенно Получающей стороне в рамках настоящего Соглашения, а также информация, которую Получающая сторона могла получить или узнать в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lastRenderedPageBreak/>
              <w:t>ходе обсуждений с Раскрывающей стороной в соответствии с настоящим Соглашением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.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</w:p>
          <w:p w14:paraId="19D32B27" w14:textId="572D5E69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Аффилированная компания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- означает юридическое лицо, которое (i) контролирует как непосредственно, так и косвенно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Раскрывающую сторону и/или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Получающую сторону, или (</w:t>
            </w:r>
            <w:proofErr w:type="spellStart"/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ii</w:t>
            </w:r>
            <w:proofErr w:type="spellEnd"/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) контролируется непосредственно или косвенно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Раскрывающей стороне и/или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Получающей стороной, или (</w:t>
            </w:r>
            <w:proofErr w:type="spellStart"/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iii</w:t>
            </w:r>
            <w:proofErr w:type="spellEnd"/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) непосредственно или косвенно контролируется компанией или организацией, которая непосредственно или косвенно контролирует 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Раскрывающую сторону и/или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Получающую сторону.</w:t>
            </w:r>
          </w:p>
          <w:p w14:paraId="552B2FD0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Контроль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- означает право собственности на более чем половину голосующих акций (доли в уставном капитале) такой компании или организации, право контроля над её действиями, в соответствии с применимым законодательством и/или Соглашением</w:t>
            </w:r>
          </w:p>
        </w:tc>
      </w:tr>
      <w:tr w:rsidR="00166118" w:rsidRPr="006C435C" w14:paraId="7A8C2A3A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2450BB4C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lastRenderedPageBreak/>
              <w:t>Использование и раскрытие Конфиденциальной информации</w:t>
            </w:r>
          </w:p>
          <w:p w14:paraId="482E1BF7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Любая Конфиденциальная информация, полученная в рамках настоящего Соглашения, должна оставаться конфиденциальной и без специального предварительного письменного согласия Раскрывающей стороны не должна раскрываться третьим лицам ни в каком виде, ни полностью, ни частично, и не должна использоваться для любых иных целей, отличающихся от Основной цели настоящего Соглашения. </w:t>
            </w:r>
          </w:p>
          <w:p w14:paraId="2BF3A5E7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В случае, если раскрытию подлежит Конфиденциальная информация, в отношении которой Раскрывающая сторона имеет обязательства по сохранению конфиденциальности по соглашению с третьей стороной, то такая информация подлежит раскрытию только после получения письменного согласия этой третьей стороны.</w:t>
            </w:r>
          </w:p>
          <w:p w14:paraId="3D305A39" w14:textId="77777777" w:rsidR="00166118" w:rsidRPr="006B0FD6" w:rsidRDefault="00166118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Получающая сторона может раскрыть Конфиденциальную информацию без письменного согласия Раскрывающей стороны следующим лицам, которым необходимо иметь такую Конфиденциальную информацию, в той степени и в том объёме:</w:t>
            </w:r>
          </w:p>
          <w:p w14:paraId="0302053E" w14:textId="77777777" w:rsidR="00166118" w:rsidRPr="006B0FD6" w:rsidRDefault="00166118" w:rsidP="007E0FAD">
            <w:pPr>
              <w:pStyle w:val="a5"/>
              <w:numPr>
                <w:ilvl w:val="0"/>
                <w:numId w:val="17"/>
              </w:numPr>
              <w:spacing w:before="120"/>
              <w:ind w:left="459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служащим, должностным лицам и руководителям Получающей стороны;</w:t>
            </w:r>
          </w:p>
          <w:p w14:paraId="7F8FC867" w14:textId="028BD0D1" w:rsidR="00166118" w:rsidRPr="006B0FD6" w:rsidRDefault="00166118" w:rsidP="007E0FAD">
            <w:pPr>
              <w:pStyle w:val="a5"/>
              <w:numPr>
                <w:ilvl w:val="0"/>
                <w:numId w:val="17"/>
              </w:numPr>
              <w:spacing w:before="120"/>
              <w:ind w:left="459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служащим, должностным лицам и руководителям своей Аффилированной компании;</w:t>
            </w:r>
          </w:p>
          <w:p w14:paraId="4A08100E" w14:textId="48D6A044" w:rsidR="00166118" w:rsidRPr="006B0FD6" w:rsidRDefault="00166118" w:rsidP="00266761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Получающая сторона и её Аффилированные компании имеют право использовать Конфиденциальную информацию, раскрываемую в соответствии с Соглашением для достижения Основной цели. </w:t>
            </w:r>
          </w:p>
        </w:tc>
      </w:tr>
      <w:tr w:rsidR="00166118" w:rsidRPr="006C435C" w14:paraId="1572EA4D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6E3CF2E5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lastRenderedPageBreak/>
              <w:t>Информация Раскрывающей стороны</w:t>
            </w:r>
          </w:p>
          <w:p w14:paraId="333F36E6" w14:textId="77777777" w:rsidR="00166118" w:rsidRPr="006B0FD6" w:rsidRDefault="00166118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Настоящим Получающая сторона соглашается и обязуется, что Конфиденциальная информация будет храниться в тайне и не будет продана, обменена, передана, опубликована или другим образом раскрыта кому-либо, включая такие способы как: фотокопирование, репродукция или электронный способ или иными способами, без предварительного письменного разрешения Раскрывающей стороны.</w:t>
            </w:r>
          </w:p>
        </w:tc>
      </w:tr>
      <w:tr w:rsidR="00166118" w:rsidRPr="006C435C" w14:paraId="679991E3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74934537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 xml:space="preserve">Владение Конфиденциальной информацией </w:t>
            </w:r>
          </w:p>
          <w:p w14:paraId="50D3467E" w14:textId="77777777" w:rsidR="00166118" w:rsidRPr="006B0FD6" w:rsidRDefault="00166118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Настоящим Получающая сторона выражает свое согласие и подтверждает то, что Конфиденциальная информация, раскрытая в силу настоящего Соглашения, является и останется собственностью Раскрывающей стороны.</w:t>
            </w:r>
          </w:p>
        </w:tc>
      </w:tr>
      <w:tr w:rsidR="00166118" w:rsidRPr="006C435C" w14:paraId="070DC55D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097E9679" w14:textId="40A78463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Раскрытие</w:t>
            </w:r>
            <w:r w:rsidRPr="004D2BF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 xml:space="preserve"> </w:t>
            </w: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конфиденциальн</w:t>
            </w:r>
            <w:r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ой</w:t>
            </w: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 xml:space="preserve"> информаци</w:t>
            </w:r>
            <w:r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и без предварительного письменного разрешения Раскрывающей стороны</w:t>
            </w:r>
          </w:p>
          <w:p w14:paraId="585F4DBD" w14:textId="758E9198" w:rsidR="00166118" w:rsidRPr="006B0FD6" w:rsidRDefault="00166118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Получающая сторона может </w:t>
            </w:r>
            <w:proofErr w:type="gramStart"/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раскрывать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 Конфиденциальную</w:t>
            </w:r>
            <w:proofErr w:type="gramEnd"/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информацию без предварительного письменного разрешения Раскрывающей стороны только в той степени, в какой такая информация:</w:t>
            </w:r>
          </w:p>
        </w:tc>
      </w:tr>
      <w:tr w:rsidR="00166118" w:rsidRPr="006C435C" w14:paraId="036E525A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36592547" w14:textId="77777777" w:rsidR="00166118" w:rsidRPr="006B0FD6" w:rsidRDefault="00166118" w:rsidP="007E0FAD">
            <w:pPr>
              <w:pStyle w:val="a5"/>
              <w:numPr>
                <w:ilvl w:val="1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уже находится в публичном владении (известна неопределенному кругу лиц) или стала общедоступной (доступ к которой не ограничен в порядке, установленном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применимым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законодательством) иначе, чем вследствие действия или бездействия Получающей стороны. В этом случае, до такого раскрытия Получающая сторона должна в письменной форме известить об этом Раскрывающую сторону;</w:t>
            </w:r>
          </w:p>
        </w:tc>
      </w:tr>
      <w:tr w:rsidR="00166118" w:rsidRPr="006C435C" w14:paraId="28F845BF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3A59F05B" w14:textId="77777777" w:rsidR="00166118" w:rsidRPr="006B0FD6" w:rsidRDefault="00166118" w:rsidP="007E0FAD">
            <w:pPr>
              <w:pStyle w:val="a5"/>
              <w:numPr>
                <w:ilvl w:val="1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была приобретена или приобретается независимо и без конфиденциальных ограничений от третьей стороны, которая имела или имеет право разглашать такую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информацию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в момент приобретения Получающей стороной;</w:t>
            </w:r>
          </w:p>
        </w:tc>
      </w:tr>
      <w:tr w:rsidR="00166118" w:rsidRPr="006C435C" w14:paraId="1FF4A2FF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579873E5" w14:textId="77777777" w:rsidR="00166118" w:rsidRPr="006B0FD6" w:rsidRDefault="00166118" w:rsidP="007E0FAD">
            <w:pPr>
              <w:pStyle w:val="a5"/>
              <w:numPr>
                <w:ilvl w:val="1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должна быть раскрыта на основании законного требования государственного органа, которому в соответствии с применимым законодательством предоставлено право требовать раскрытия такой информации.  В этом случае, до такого раскрытия Получающая сторона должна:</w:t>
            </w:r>
          </w:p>
        </w:tc>
      </w:tr>
      <w:tr w:rsidR="00166118" w:rsidRPr="006C435C" w14:paraId="6178A294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071DE250" w14:textId="77777777" w:rsidR="00166118" w:rsidRPr="006B0FD6" w:rsidRDefault="00166118" w:rsidP="007E0FAD">
            <w:pPr>
              <w:pStyle w:val="a5"/>
              <w:numPr>
                <w:ilvl w:val="2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незамедлительно</w:t>
            </w: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уведомить Раскрывающую сторону о существовании, условиях и обстоятельствах такого требования;</w:t>
            </w:r>
          </w:p>
        </w:tc>
      </w:tr>
      <w:tr w:rsidR="00166118" w:rsidRPr="006C435C" w14:paraId="71A1234C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6C01F9E1" w14:textId="77777777" w:rsidR="00166118" w:rsidRPr="006B0FD6" w:rsidRDefault="00166118" w:rsidP="007E0FAD">
            <w:pPr>
              <w:pStyle w:val="a5"/>
              <w:numPr>
                <w:ilvl w:val="2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предпринять все возможные действия для предотвращения 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раскрытия</w:t>
            </w: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информации;</w:t>
            </w:r>
          </w:p>
        </w:tc>
      </w:tr>
      <w:tr w:rsidR="00166118" w:rsidRPr="006C435C" w14:paraId="172CB356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4DD3FD11" w14:textId="77777777" w:rsidR="00166118" w:rsidRPr="006B0FD6" w:rsidRDefault="00166118" w:rsidP="007E0FAD">
            <w:pPr>
              <w:pStyle w:val="a5"/>
              <w:numPr>
                <w:ilvl w:val="2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bookmarkStart w:id="0" w:name="_Ref534201175"/>
            <w:bookmarkStart w:id="1" w:name="_Ref43466621"/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предпринять</w:t>
            </w: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все необходимые действия, чтобы к раскрываемой Конфиденциальной </w:t>
            </w: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информации применялся режим конфиденциальности.</w:t>
            </w:r>
            <w:bookmarkEnd w:id="0"/>
            <w:bookmarkEnd w:id="1"/>
          </w:p>
        </w:tc>
      </w:tr>
      <w:tr w:rsidR="00166118" w:rsidRPr="006C435C" w14:paraId="7E757472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28E8B4F3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lastRenderedPageBreak/>
              <w:t xml:space="preserve">Получающая сторона имеет право использовать Конфиденциальную информацию Раскрывающей стороны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только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в целях обеспечения осуществления своей деятельности в соответствии с заключенным между Сторонами Соглашением.</w:t>
            </w:r>
          </w:p>
        </w:tc>
      </w:tr>
      <w:tr w:rsidR="00166118" w:rsidRPr="006C435C" w14:paraId="18D9D612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7B012F0D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Ответственность</w:t>
            </w:r>
          </w:p>
          <w:p w14:paraId="7776FD61" w14:textId="77777777" w:rsidR="00166118" w:rsidRPr="006B0FD6" w:rsidRDefault="00166118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Получающая сторона несёт гражданско-правовую ответственность за: </w:t>
            </w:r>
          </w:p>
          <w:p w14:paraId="2AE37597" w14:textId="77777777" w:rsidR="00166118" w:rsidRPr="006B0FD6" w:rsidRDefault="00166118" w:rsidP="007E0FAD">
            <w:pPr>
              <w:pStyle w:val="a5"/>
              <w:numPr>
                <w:ilvl w:val="0"/>
                <w:numId w:val="6"/>
              </w:numPr>
              <w:spacing w:before="120"/>
              <w:ind w:left="45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умышленное, неумышленное, неосторожное разглашение, утерю, раскрытие и/или использование Конфиденциальной информации;</w:t>
            </w:r>
          </w:p>
          <w:p w14:paraId="7322E55D" w14:textId="77777777" w:rsidR="00166118" w:rsidRPr="006B0FD6" w:rsidRDefault="00166118" w:rsidP="007E0FAD">
            <w:pPr>
              <w:pStyle w:val="a5"/>
              <w:numPr>
                <w:ilvl w:val="0"/>
                <w:numId w:val="6"/>
              </w:numPr>
              <w:spacing w:before="120"/>
              <w:ind w:left="45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несанкционированное разглашение, </w:t>
            </w:r>
            <w:proofErr w:type="gramStart"/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утерю,   </w:t>
            </w:r>
            <w:proofErr w:type="gramEnd"/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  раскрытие и/или использование Конфиденциальной информации лицами, имевшими и/или имеющими доступ к предоставленной Раскрывающей стороной Конфиденциальной информации, в соответствии с пунктом 2 Соглашения;</w:t>
            </w:r>
          </w:p>
          <w:p w14:paraId="392F5D4B" w14:textId="1690136C" w:rsidR="00166118" w:rsidRDefault="00166118" w:rsidP="007E0FAD">
            <w:pPr>
              <w:pStyle w:val="a5"/>
              <w:keepNext/>
              <w:numPr>
                <w:ilvl w:val="0"/>
                <w:numId w:val="6"/>
              </w:numPr>
              <w:spacing w:before="120" w:after="60"/>
              <w:ind w:left="459"/>
              <w:contextualSpacing w:val="0"/>
              <w:jc w:val="both"/>
              <w:outlineLvl w:val="1"/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неисполнение или ненадлежащее исполнение обязательств по Соглашению путем возмещения причиненн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ого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Раскрывающей стороне 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реального ущерба</w:t>
            </w:r>
            <w:r w:rsidRPr="006B0FD6"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>.</w:t>
            </w:r>
          </w:p>
          <w:p w14:paraId="1CC613E1" w14:textId="16395360" w:rsidR="00166118" w:rsidRPr="00A1729C" w:rsidRDefault="00166118" w:rsidP="00A1729C">
            <w:pPr>
              <w:keepNext/>
              <w:spacing w:before="120" w:after="60"/>
              <w:ind w:left="99"/>
              <w:jc w:val="both"/>
              <w:outlineLvl w:val="1"/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</w:pPr>
            <w:r w:rsidRPr="00990614"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 xml:space="preserve">В случае разглашения Конфиденциальной информации, соответствующими должностные лицами, руководителями или работниками Аффилированных компаний Получающей стороны, гражданско-правовую ответственность перед </w:t>
            </w:r>
            <w:r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>Раскрывающей стороной</w:t>
            </w:r>
            <w:r w:rsidRPr="00990614"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 xml:space="preserve"> несёт Получающая сторона.</w:t>
            </w:r>
            <w:r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 xml:space="preserve">  </w:t>
            </w:r>
          </w:p>
        </w:tc>
      </w:tr>
      <w:tr w:rsidR="00166118" w:rsidRPr="006C435C" w14:paraId="01C9A0F3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77F64222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Возврат Конфиденциальной информации</w:t>
            </w:r>
          </w:p>
          <w:p w14:paraId="3D540B23" w14:textId="77777777" w:rsidR="00166118" w:rsidRPr="006B0FD6" w:rsidRDefault="00166118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По настоящему Соглашению никакие права собственности на Конфиденциальную информацию не переходят в собственность Получающей стороны. Раскрывающая сторона имеет право требовать в любое время ее возврата путем подачи не менее чем за 5 (пять) рабочих дней письменного уведомления в адрес Получающей стороны. После получения такого уведомления, Получающая сторона в соответствии с указанием Раскрывающей стороны должна:</w:t>
            </w:r>
          </w:p>
          <w:p w14:paraId="5C3C100F" w14:textId="77777777" w:rsidR="00166118" w:rsidRPr="006B0FD6" w:rsidRDefault="00166118" w:rsidP="007E0FAD">
            <w:pPr>
              <w:pStyle w:val="a5"/>
              <w:numPr>
                <w:ilvl w:val="0"/>
                <w:numId w:val="21"/>
              </w:numPr>
              <w:spacing w:before="120"/>
              <w:ind w:left="454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вернуть   оригиналы   конфиденциальной   информации Раскрывающей Стороне;</w:t>
            </w:r>
          </w:p>
          <w:p w14:paraId="07410132" w14:textId="77777777" w:rsidR="00166118" w:rsidRPr="006B0FD6" w:rsidRDefault="00166118" w:rsidP="007E0FAD">
            <w:pPr>
              <w:pStyle w:val="a5"/>
              <w:numPr>
                <w:ilvl w:val="0"/>
                <w:numId w:val="21"/>
              </w:numPr>
              <w:spacing w:before="120"/>
              <w:ind w:left="454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вернуть раскрывающей стороне все копии и репродукции с оригиналов Конфиденциальной информации, переданные Раскрывающейся стороной (в любой форме, включая, но, не ограничиваясь, данные на электронных носителях), находящиеся в распоряжении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lastRenderedPageBreak/>
              <w:t>Сторон, которым она раскрыта в соответствии с условиями настоящего Соглашения;</w:t>
            </w:r>
          </w:p>
          <w:p w14:paraId="63D7844C" w14:textId="77777777" w:rsidR="00166118" w:rsidRPr="006B0FD6" w:rsidRDefault="00166118" w:rsidP="007E0FAD">
            <w:pPr>
              <w:pStyle w:val="a5"/>
              <w:numPr>
                <w:ilvl w:val="0"/>
                <w:numId w:val="21"/>
              </w:numPr>
              <w:spacing w:before="120"/>
              <w:ind w:left="454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уничтожить данные на электронных носителях и письменно уведомить о таком уничтожении Раскрывающую сторону с подтверждением соответствующими актами об уничтожении.</w:t>
            </w:r>
          </w:p>
        </w:tc>
      </w:tr>
      <w:tr w:rsidR="00166118" w:rsidRPr="006C435C" w14:paraId="20B61570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2F304579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lastRenderedPageBreak/>
              <w:t>Срок действия Соглашения</w:t>
            </w:r>
          </w:p>
          <w:p w14:paraId="69E5F977" w14:textId="77777777" w:rsidR="00166118" w:rsidRPr="006B0FD6" w:rsidRDefault="00166118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Действие Соглашения прекращается в одну из следующих наступивших ранее дат:</w:t>
            </w:r>
          </w:p>
          <w:p w14:paraId="36A03827" w14:textId="77777777" w:rsidR="00166118" w:rsidRPr="006B0FD6" w:rsidRDefault="00166118" w:rsidP="007E0FAD">
            <w:pPr>
              <w:pStyle w:val="a5"/>
              <w:keepNext/>
              <w:numPr>
                <w:ilvl w:val="0"/>
                <w:numId w:val="14"/>
              </w:numPr>
              <w:spacing w:before="120"/>
              <w:ind w:left="459"/>
              <w:jc w:val="both"/>
              <w:outlineLvl w:val="0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в случае подписания обеими Сторонами соглашения о расторжении Соглашения;</w:t>
            </w:r>
          </w:p>
          <w:p w14:paraId="3B96F58D" w14:textId="77777777" w:rsidR="00166118" w:rsidRPr="006B0FD6" w:rsidRDefault="00166118" w:rsidP="007E0FAD">
            <w:pPr>
              <w:pStyle w:val="a5"/>
              <w:keepNext/>
              <w:numPr>
                <w:ilvl w:val="0"/>
                <w:numId w:val="14"/>
              </w:numPr>
              <w:spacing w:before="120"/>
              <w:ind w:left="459"/>
              <w:jc w:val="both"/>
              <w:outlineLvl w:val="0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через </w:t>
            </w:r>
            <w:r>
              <w:rPr>
                <w:rFonts w:ascii="Times New Roman" w:eastAsia="Malgun Gothic" w:hAnsi="Times New Roman" w:cs="Times New Roman"/>
                <w:szCs w:val="20"/>
              </w:rPr>
              <w:t>5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>
              <w:rPr>
                <w:rFonts w:ascii="Times New Roman" w:eastAsia="Malgun Gothic" w:hAnsi="Times New Roman" w:cs="Times New Roman"/>
                <w:szCs w:val="20"/>
              </w:rPr>
              <w:t>пять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) </w:t>
            </w:r>
            <w:r>
              <w:rPr>
                <w:rFonts w:ascii="Times New Roman" w:eastAsia="Malgun Gothic" w:hAnsi="Times New Roman" w:cs="Times New Roman"/>
                <w:szCs w:val="20"/>
              </w:rPr>
              <w:t xml:space="preserve">лет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с даты подписания Соглашения.</w:t>
            </w:r>
          </w:p>
          <w:p w14:paraId="295703B5" w14:textId="77777777" w:rsidR="00166118" w:rsidRPr="006B0FD6" w:rsidRDefault="00166118" w:rsidP="00DF478A">
            <w:pPr>
              <w:keepNext/>
              <w:spacing w:before="120"/>
              <w:jc w:val="both"/>
              <w:outlineLvl w:val="0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При этом Получающая сторона обязуется не разглашать сведения, содержащиеся в Конфиденциальной информации, в течение </w:t>
            </w:r>
            <w:r>
              <w:rPr>
                <w:rFonts w:ascii="Times New Roman" w:eastAsia="Malgun Gothic" w:hAnsi="Times New Roman" w:cs="Times New Roman"/>
                <w:szCs w:val="20"/>
              </w:rPr>
              <w:t xml:space="preserve">10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(</w:t>
            </w:r>
            <w:r>
              <w:rPr>
                <w:rFonts w:ascii="Times New Roman" w:eastAsia="Malgun Gothic" w:hAnsi="Times New Roman" w:cs="Times New Roman"/>
                <w:szCs w:val="20"/>
              </w:rPr>
              <w:t>десять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) лет после прекращения действия Соглашения, предусмотренного данным пунктом Соглашения. </w:t>
            </w:r>
          </w:p>
        </w:tc>
      </w:tr>
      <w:tr w:rsidR="00166118" w:rsidRPr="006C435C" w14:paraId="1C7E182E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04611AC5" w14:textId="77777777" w:rsidR="00166118" w:rsidRPr="00166118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Cs/>
                <w:szCs w:val="20"/>
                <w:highlight w:val="yellow"/>
              </w:rPr>
            </w:pPr>
            <w:r w:rsidRPr="00166118">
              <w:rPr>
                <w:rFonts w:ascii="Times New Roman" w:eastAsia="Malgun Gothic" w:hAnsi="Times New Roman" w:cs="Times New Roman"/>
                <w:bCs/>
                <w:szCs w:val="20"/>
                <w:highlight w:val="yellow"/>
              </w:rPr>
              <w:t>Соглашение подписано в 2 (двух) подлинных экземплярах, на русском языке, по одному экземпляру для каждой из Сторон.</w:t>
            </w:r>
          </w:p>
          <w:p w14:paraId="1C4CAA12" w14:textId="296C59EB" w:rsidR="00166118" w:rsidRPr="006B0FD6" w:rsidRDefault="00166118" w:rsidP="007E0FAD">
            <w:pPr>
              <w:keepNext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</w:tc>
      </w:tr>
      <w:tr w:rsidR="00166118" w:rsidRPr="006C435C" w14:paraId="79AEF2F8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2C726FE2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x-none"/>
              </w:rPr>
              <w:t xml:space="preserve">Применимое законодательство </w:t>
            </w:r>
          </w:p>
          <w:p w14:paraId="3D3AFC68" w14:textId="294C0577" w:rsidR="00166118" w:rsidRPr="006B0FD6" w:rsidRDefault="00166118" w:rsidP="00DF478A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Настоящее   Соглашение толкуется в соответствии   с действующим   законодательством Республики Казахстан. Любые   разногласия, возникающие   из   Соглашения, включая вопросы в отношении его действительности или прекращения, которые не могут быть решены</w:t>
            </w:r>
            <w:r w:rsidRPr="00DF478A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путем  переговоров  Сторон  в  течение  30 календарных дней (если Стороны письменно не оговорят иной срок), подлежат   разрешению  в    судебных органах г. 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Астана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, Республика Казахстан, в соответствии с действующим законодательством Республики Казахстан.</w:t>
            </w:r>
          </w:p>
        </w:tc>
      </w:tr>
      <w:tr w:rsidR="00166118" w:rsidRPr="006C435C" w14:paraId="14F92BB1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47ABFEDE" w14:textId="0C68D5ED" w:rsidR="00166118" w:rsidRPr="006B0FD6" w:rsidRDefault="00166118" w:rsidP="00266761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Раскрывающая сторона не делает никаких заверений или гарантий, явных или подразумеваемых, в отношении качества, 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достоверности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и полноты Конфиденциальной информации, раскрытой по настоящему Соглашению, и Получающая сторона прямо признает присущий этому риск.  Раскрывающая сторона, ее Аффилированные компании и их соответствующие должностные лица, руководители и работники не несут никакой ответственности за то, что Получающая сторона или ее Аффилированные компании использовали или полагались на такую Конфиденциальную информацию.</w:t>
            </w:r>
          </w:p>
        </w:tc>
      </w:tr>
      <w:tr w:rsidR="00166118" w:rsidRPr="006C435C" w14:paraId="529CA77D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360DD0FC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Все дополнения и изменения к Соглашению имеют силу, только в том случае, если они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lastRenderedPageBreak/>
              <w:t>составлены в письменном виде, подписаны уполномоченными представителями Сторон и скреплены печатями.</w:t>
            </w:r>
          </w:p>
        </w:tc>
      </w:tr>
      <w:tr w:rsidR="00166118" w:rsidRPr="006C435C" w14:paraId="08169AF8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5ED25A66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lastRenderedPageBreak/>
              <w:t>Соглашение   вступает   в   юридическую   силу со дня   его подписания Сторонами и прекращает свое действие   в соответствии с пунктом 9 Соглашения.</w:t>
            </w:r>
          </w:p>
        </w:tc>
      </w:tr>
      <w:tr w:rsidR="00166118" w:rsidRPr="006C435C" w14:paraId="2C19A69B" w14:textId="77777777" w:rsidTr="007E0FAD">
        <w:trPr>
          <w:gridAfter w:val="1"/>
          <w:wAfter w:w="4836" w:type="dxa"/>
        </w:trPr>
        <w:tc>
          <w:tcPr>
            <w:tcW w:w="0" w:type="auto"/>
          </w:tcPr>
          <w:p w14:paraId="6643D39D" w14:textId="77777777" w:rsidR="00166118" w:rsidRPr="006B0FD6" w:rsidRDefault="00166118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Подписи и печати Сторон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:</w:t>
            </w:r>
          </w:p>
        </w:tc>
      </w:tr>
      <w:tr w:rsidR="008117BC" w:rsidRPr="008117BC" w14:paraId="58EB5E4B" w14:textId="77777777" w:rsidTr="00CA07C7">
        <w:tc>
          <w:tcPr>
            <w:tcW w:w="10064" w:type="dxa"/>
            <w:gridSpan w:val="2"/>
          </w:tcPr>
          <w:p w14:paraId="6F194466" w14:textId="77777777" w:rsidR="008117BC" w:rsidRPr="001C6FC2" w:rsidRDefault="008117BC" w:rsidP="008117BC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</w:p>
          <w:p w14:paraId="3761F0D2" w14:textId="77777777" w:rsidR="008117BC" w:rsidRPr="008117BC" w:rsidRDefault="008117BC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</w:pPr>
            <w:r w:rsidRPr="008117BC">
              <w:rPr>
                <w:rFonts w:ascii="Times New Roman" w:eastAsia="Malgun Gothic" w:hAnsi="Times New Roman" w:cs="Times New Roman"/>
                <w:bCs/>
                <w:szCs w:val="20"/>
              </w:rPr>
              <w:t>Со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  <w:t xml:space="preserve"> 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</w:rPr>
              <w:t>стороны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  <w:t>/ From the side of</w:t>
            </w:r>
          </w:p>
          <w:p w14:paraId="43607431" w14:textId="09F286DC" w:rsidR="008117BC" w:rsidRPr="00BC1A81" w:rsidRDefault="008117BC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</w:pPr>
            <w:r w:rsidRPr="00BC1A81">
              <w:rPr>
                <w:rFonts w:ascii="Times New Roman" w:eastAsia="Malgun Gothic" w:hAnsi="Times New Roman" w:cs="Times New Roman"/>
                <w:b/>
                <w:szCs w:val="20"/>
              </w:rPr>
              <w:t>ТОО</w:t>
            </w:r>
            <w:r w:rsidRPr="00BC1A81"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 xml:space="preserve"> «</w:t>
            </w:r>
            <w:r w:rsidR="0082746D"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 xml:space="preserve">KMG </w:t>
            </w:r>
            <w:proofErr w:type="spellStart"/>
            <w:r w:rsidR="0082746D"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>PetroChem</w:t>
            </w:r>
            <w:proofErr w:type="spellEnd"/>
            <w:r w:rsidR="0082746D" w:rsidRPr="00FD042F"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>»</w:t>
            </w:r>
          </w:p>
          <w:p w14:paraId="19232620" w14:textId="77777777" w:rsidR="009B4745" w:rsidRPr="008117BC" w:rsidRDefault="009B4745" w:rsidP="006C435C">
            <w:pPr>
              <w:pStyle w:val="a5"/>
              <w:spacing w:before="120"/>
              <w:ind w:left="0"/>
              <w:contextualSpacing w:val="0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</w:p>
          <w:p w14:paraId="747A4887" w14:textId="77777777" w:rsidR="008117BC" w:rsidRPr="008117BC" w:rsidRDefault="008117BC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  <w:r w:rsidRPr="008117BC"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  <w:t>___________________________</w:t>
            </w:r>
          </w:p>
          <w:p w14:paraId="133BD450" w14:textId="77777777" w:rsidR="006C435C" w:rsidRPr="006C435C" w:rsidRDefault="006C435C" w:rsidP="006C435C">
            <w:pPr>
              <w:pStyle w:val="a5"/>
              <w:spacing w:before="12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  <w:r w:rsidRPr="006C435C"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  <w:t>Nurlan Keikin K., Deputy Chairman of the Management Board for Projects /</w:t>
            </w:r>
          </w:p>
          <w:p w14:paraId="794CBA3B" w14:textId="784FEC81" w:rsidR="006C435C" w:rsidRPr="006C435C" w:rsidRDefault="006C435C" w:rsidP="006C435C">
            <w:pPr>
              <w:pStyle w:val="a5"/>
              <w:spacing w:before="12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proofErr w:type="spellStart"/>
            <w:r w:rsidRPr="006C435C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Кейкин</w:t>
            </w:r>
            <w:proofErr w:type="spellEnd"/>
            <w:r w:rsidRPr="006C435C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 xml:space="preserve"> Нурлан </w:t>
            </w:r>
            <w:proofErr w:type="spellStart"/>
            <w:r w:rsidRPr="006C435C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Койшиевич</w:t>
            </w:r>
            <w:proofErr w:type="spellEnd"/>
            <w:r w:rsidRPr="006C435C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, Заместитель Председателя Правления по проектам</w:t>
            </w:r>
          </w:p>
          <w:p w14:paraId="123D5802" w14:textId="77777777" w:rsidR="008117BC" w:rsidRPr="006C435C" w:rsidRDefault="008117BC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</w:p>
          <w:p w14:paraId="56660D08" w14:textId="77777777" w:rsidR="008117BC" w:rsidRPr="006C435C" w:rsidRDefault="008117BC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Cs/>
                <w:szCs w:val="20"/>
              </w:rPr>
            </w:pPr>
          </w:p>
          <w:p w14:paraId="240ED09D" w14:textId="77777777" w:rsidR="008117BC" w:rsidRDefault="008117BC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</w:pPr>
            <w:r w:rsidRPr="008117BC">
              <w:rPr>
                <w:rFonts w:ascii="Times New Roman" w:eastAsia="Malgun Gothic" w:hAnsi="Times New Roman" w:cs="Times New Roman"/>
                <w:bCs/>
                <w:szCs w:val="20"/>
              </w:rPr>
              <w:t>Со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  <w:t xml:space="preserve"> 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</w:rPr>
              <w:t>стороны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  <w:t>/ from the side of</w:t>
            </w:r>
          </w:p>
          <w:p w14:paraId="47CECCFC" w14:textId="7F02E4A0" w:rsidR="008117BC" w:rsidRPr="00990614" w:rsidRDefault="00990614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szCs w:val="20"/>
              </w:rPr>
            </w:pPr>
            <w:r>
              <w:rPr>
                <w:rFonts w:ascii="Times New Roman" w:eastAsia="Malgun Gothic" w:hAnsi="Times New Roman" w:cs="Times New Roman"/>
                <w:b/>
                <w:szCs w:val="20"/>
              </w:rPr>
              <w:t>___________________________</w:t>
            </w:r>
          </w:p>
          <w:p w14:paraId="639ABDBB" w14:textId="77777777" w:rsidR="008117BC" w:rsidRPr="008117BC" w:rsidRDefault="008117BC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</w:p>
          <w:p w14:paraId="426D9523" w14:textId="77777777" w:rsidR="008117BC" w:rsidRPr="008117BC" w:rsidRDefault="008117BC" w:rsidP="009B4745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___________________________</w:t>
            </w:r>
          </w:p>
          <w:p w14:paraId="00FF3044" w14:textId="77777777" w:rsidR="008117BC" w:rsidRPr="008117BC" w:rsidRDefault="008117BC" w:rsidP="008117BC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</w:p>
        </w:tc>
      </w:tr>
    </w:tbl>
    <w:p w14:paraId="588D48EC" w14:textId="77777777" w:rsidR="00267EED" w:rsidRPr="008117BC" w:rsidRDefault="00267EED" w:rsidP="008117BC">
      <w:pPr>
        <w:spacing w:before="120"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</w:p>
    <w:sectPr w:rsidR="00267EED" w:rsidRPr="008117BC" w:rsidSect="006B0FD6">
      <w:footerReference w:type="default" r:id="rId11"/>
      <w:pgSz w:w="11906" w:h="16838"/>
      <w:pgMar w:top="1134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B969" w14:textId="77777777" w:rsidR="00BF3214" w:rsidRDefault="00BF3214" w:rsidP="006B0FD6">
      <w:pPr>
        <w:spacing w:after="0" w:line="240" w:lineRule="auto"/>
      </w:pPr>
      <w:r>
        <w:separator/>
      </w:r>
    </w:p>
  </w:endnote>
  <w:endnote w:type="continuationSeparator" w:id="0">
    <w:p w14:paraId="5549E25B" w14:textId="77777777" w:rsidR="00BF3214" w:rsidRDefault="00BF3214" w:rsidP="006B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C29A" w14:textId="77777777" w:rsidR="006B0FD6" w:rsidRPr="006B0FD6" w:rsidRDefault="006B0FD6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4"/>
      </w:rPr>
    </w:pPr>
    <w:r w:rsidRPr="006B0FD6">
      <w:rPr>
        <w:rFonts w:ascii="Times New Roman" w:hAnsi="Times New Roman" w:cs="Times New Roman"/>
        <w:sz w:val="20"/>
        <w:szCs w:val="24"/>
      </w:rPr>
      <w:fldChar w:fldCharType="begin"/>
    </w:r>
    <w:r w:rsidRPr="006B0FD6">
      <w:rPr>
        <w:rFonts w:ascii="Times New Roman" w:hAnsi="Times New Roman" w:cs="Times New Roman"/>
        <w:sz w:val="20"/>
        <w:szCs w:val="24"/>
      </w:rPr>
      <w:instrText>PAGE   \* MERGEFORMAT</w:instrText>
    </w:r>
    <w:r w:rsidRPr="006B0FD6">
      <w:rPr>
        <w:rFonts w:ascii="Times New Roman" w:hAnsi="Times New Roman" w:cs="Times New Roman"/>
        <w:sz w:val="20"/>
        <w:szCs w:val="24"/>
      </w:rPr>
      <w:fldChar w:fldCharType="separate"/>
    </w:r>
    <w:r w:rsidR="00266761">
      <w:rPr>
        <w:rFonts w:ascii="Times New Roman" w:hAnsi="Times New Roman" w:cs="Times New Roman"/>
        <w:noProof/>
        <w:sz w:val="20"/>
        <w:szCs w:val="24"/>
      </w:rPr>
      <w:t>1</w:t>
    </w:r>
    <w:r w:rsidRPr="006B0FD6">
      <w:rPr>
        <w:rFonts w:ascii="Times New Roman" w:hAnsi="Times New Roman" w:cs="Times New Roman"/>
        <w:sz w:val="20"/>
        <w:szCs w:val="24"/>
      </w:rPr>
      <w:fldChar w:fldCharType="end"/>
    </w:r>
    <w:r w:rsidRPr="006B0FD6">
      <w:rPr>
        <w:rFonts w:ascii="Times New Roman" w:hAnsi="Times New Roman" w:cs="Times New Roman"/>
        <w:sz w:val="20"/>
        <w:szCs w:val="24"/>
      </w:rPr>
      <w:t xml:space="preserve"> | </w:t>
    </w:r>
    <w:r w:rsidRPr="006B0FD6">
      <w:rPr>
        <w:rFonts w:ascii="Times New Roman" w:hAnsi="Times New Roman" w:cs="Times New Roman"/>
        <w:sz w:val="20"/>
        <w:szCs w:val="24"/>
      </w:rPr>
      <w:fldChar w:fldCharType="begin"/>
    </w:r>
    <w:r w:rsidRPr="006B0FD6">
      <w:rPr>
        <w:rFonts w:ascii="Times New Roman" w:hAnsi="Times New Roman" w:cs="Times New Roman"/>
        <w:sz w:val="20"/>
        <w:szCs w:val="24"/>
      </w:rPr>
      <w:instrText>NUMPAGES  \* Arabic  \* MERGEFORMAT</w:instrText>
    </w:r>
    <w:r w:rsidRPr="006B0FD6">
      <w:rPr>
        <w:rFonts w:ascii="Times New Roman" w:hAnsi="Times New Roman" w:cs="Times New Roman"/>
        <w:sz w:val="20"/>
        <w:szCs w:val="24"/>
      </w:rPr>
      <w:fldChar w:fldCharType="separate"/>
    </w:r>
    <w:r w:rsidR="00266761">
      <w:rPr>
        <w:rFonts w:ascii="Times New Roman" w:hAnsi="Times New Roman" w:cs="Times New Roman"/>
        <w:noProof/>
        <w:sz w:val="20"/>
        <w:szCs w:val="24"/>
      </w:rPr>
      <w:t>6</w:t>
    </w:r>
    <w:r w:rsidRPr="006B0FD6">
      <w:rPr>
        <w:rFonts w:ascii="Times New Roman" w:hAnsi="Times New Roman" w:cs="Times New Roman"/>
        <w:sz w:val="20"/>
        <w:szCs w:val="24"/>
      </w:rPr>
      <w:fldChar w:fldCharType="end"/>
    </w:r>
  </w:p>
  <w:p w14:paraId="5EAB5E91" w14:textId="77777777" w:rsidR="006B0FD6" w:rsidRDefault="006B0F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811A" w14:textId="77777777" w:rsidR="00BF3214" w:rsidRDefault="00BF3214" w:rsidP="006B0FD6">
      <w:pPr>
        <w:spacing w:after="0" w:line="240" w:lineRule="auto"/>
      </w:pPr>
      <w:r>
        <w:separator/>
      </w:r>
    </w:p>
  </w:footnote>
  <w:footnote w:type="continuationSeparator" w:id="0">
    <w:p w14:paraId="0576F201" w14:textId="77777777" w:rsidR="00BF3214" w:rsidRDefault="00BF3214" w:rsidP="006B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911"/>
    <w:multiLevelType w:val="multilevel"/>
    <w:tmpl w:val="4F7222D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279CA"/>
    <w:multiLevelType w:val="hybridMultilevel"/>
    <w:tmpl w:val="8004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3A8A">
      <w:start w:val="1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DC8"/>
    <w:multiLevelType w:val="hybridMultilevel"/>
    <w:tmpl w:val="9DA412EE"/>
    <w:lvl w:ilvl="0" w:tplc="8564F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4DF5"/>
    <w:multiLevelType w:val="hybridMultilevel"/>
    <w:tmpl w:val="CA4C6F6A"/>
    <w:lvl w:ilvl="0" w:tplc="71C4DA72">
      <w:start w:val="1"/>
      <w:numFmt w:val="decimal"/>
      <w:lvlText w:val="%1."/>
      <w:lvlJc w:val="left"/>
      <w:pPr>
        <w:ind w:left="1111" w:hanging="4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F8259F"/>
    <w:multiLevelType w:val="hybridMultilevel"/>
    <w:tmpl w:val="F680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258F2"/>
    <w:multiLevelType w:val="hybridMultilevel"/>
    <w:tmpl w:val="F9C6DA06"/>
    <w:lvl w:ilvl="0" w:tplc="8564F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049"/>
    <w:multiLevelType w:val="hybridMultilevel"/>
    <w:tmpl w:val="18F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0F7"/>
    <w:multiLevelType w:val="hybridMultilevel"/>
    <w:tmpl w:val="9210DB78"/>
    <w:lvl w:ilvl="0" w:tplc="8564F788">
      <w:start w:val="1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52401"/>
    <w:multiLevelType w:val="hybridMultilevel"/>
    <w:tmpl w:val="0288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72029"/>
    <w:multiLevelType w:val="hybridMultilevel"/>
    <w:tmpl w:val="356E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4941"/>
    <w:multiLevelType w:val="hybridMultilevel"/>
    <w:tmpl w:val="EBBE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780F"/>
    <w:multiLevelType w:val="hybridMultilevel"/>
    <w:tmpl w:val="E144700A"/>
    <w:lvl w:ilvl="0" w:tplc="8564F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E7A81"/>
    <w:multiLevelType w:val="hybridMultilevel"/>
    <w:tmpl w:val="9F56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6CB7"/>
    <w:multiLevelType w:val="multilevel"/>
    <w:tmpl w:val="331C4A0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95776B"/>
    <w:multiLevelType w:val="hybridMultilevel"/>
    <w:tmpl w:val="1D522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B35332"/>
    <w:multiLevelType w:val="hybridMultilevel"/>
    <w:tmpl w:val="C45E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F2393"/>
    <w:multiLevelType w:val="hybridMultilevel"/>
    <w:tmpl w:val="FD52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A5BF9"/>
    <w:multiLevelType w:val="hybridMultilevel"/>
    <w:tmpl w:val="743A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356E2"/>
    <w:multiLevelType w:val="hybridMultilevel"/>
    <w:tmpl w:val="E06041CE"/>
    <w:lvl w:ilvl="0" w:tplc="8564F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34AA5"/>
    <w:multiLevelType w:val="hybridMultilevel"/>
    <w:tmpl w:val="ADC0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B425E"/>
    <w:multiLevelType w:val="hybridMultilevel"/>
    <w:tmpl w:val="BE18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824277">
    <w:abstractNumId w:val="3"/>
  </w:num>
  <w:num w:numId="2" w16cid:durableId="224146157">
    <w:abstractNumId w:val="13"/>
  </w:num>
  <w:num w:numId="3" w16cid:durableId="538663615">
    <w:abstractNumId w:val="15"/>
  </w:num>
  <w:num w:numId="4" w16cid:durableId="978994605">
    <w:abstractNumId w:val="0"/>
  </w:num>
  <w:num w:numId="5" w16cid:durableId="988948716">
    <w:abstractNumId w:val="9"/>
  </w:num>
  <w:num w:numId="6" w16cid:durableId="508301189">
    <w:abstractNumId w:val="6"/>
  </w:num>
  <w:num w:numId="7" w16cid:durableId="1593776562">
    <w:abstractNumId w:val="12"/>
  </w:num>
  <w:num w:numId="8" w16cid:durableId="1096756597">
    <w:abstractNumId w:val="2"/>
  </w:num>
  <w:num w:numId="9" w16cid:durableId="2074502513">
    <w:abstractNumId w:val="5"/>
  </w:num>
  <w:num w:numId="10" w16cid:durableId="80496807">
    <w:abstractNumId w:val="11"/>
  </w:num>
  <w:num w:numId="11" w16cid:durableId="49498405">
    <w:abstractNumId w:val="7"/>
  </w:num>
  <w:num w:numId="12" w16cid:durableId="1842817797">
    <w:abstractNumId w:val="14"/>
  </w:num>
  <w:num w:numId="13" w16cid:durableId="351734215">
    <w:abstractNumId w:val="17"/>
  </w:num>
  <w:num w:numId="14" w16cid:durableId="152844329">
    <w:abstractNumId w:val="1"/>
  </w:num>
  <w:num w:numId="15" w16cid:durableId="893202877">
    <w:abstractNumId w:val="16"/>
  </w:num>
  <w:num w:numId="16" w16cid:durableId="1941259118">
    <w:abstractNumId w:val="8"/>
  </w:num>
  <w:num w:numId="17" w16cid:durableId="904411531">
    <w:abstractNumId w:val="20"/>
  </w:num>
  <w:num w:numId="18" w16cid:durableId="699160586">
    <w:abstractNumId w:val="10"/>
  </w:num>
  <w:num w:numId="19" w16cid:durableId="1127548448">
    <w:abstractNumId w:val="18"/>
  </w:num>
  <w:num w:numId="20" w16cid:durableId="1899902114">
    <w:abstractNumId w:val="4"/>
  </w:num>
  <w:num w:numId="21" w16cid:durableId="9430040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37F53"/>
    <w:rsid w:val="000558A2"/>
    <w:rsid w:val="000925CA"/>
    <w:rsid w:val="000B0ADB"/>
    <w:rsid w:val="000B500F"/>
    <w:rsid w:val="000D0477"/>
    <w:rsid w:val="000E0484"/>
    <w:rsid w:val="00164A9D"/>
    <w:rsid w:val="00166118"/>
    <w:rsid w:val="001C6FC2"/>
    <w:rsid w:val="001D13F0"/>
    <w:rsid w:val="00220259"/>
    <w:rsid w:val="002333A4"/>
    <w:rsid w:val="00262C7A"/>
    <w:rsid w:val="00266761"/>
    <w:rsid w:val="00267EED"/>
    <w:rsid w:val="00277D49"/>
    <w:rsid w:val="002835AB"/>
    <w:rsid w:val="002B2EDD"/>
    <w:rsid w:val="002C1261"/>
    <w:rsid w:val="002E2260"/>
    <w:rsid w:val="002E3A39"/>
    <w:rsid w:val="002F0812"/>
    <w:rsid w:val="002F4986"/>
    <w:rsid w:val="003412AF"/>
    <w:rsid w:val="00344476"/>
    <w:rsid w:val="00363948"/>
    <w:rsid w:val="00384C3A"/>
    <w:rsid w:val="003B66E0"/>
    <w:rsid w:val="003D326A"/>
    <w:rsid w:val="00405CBB"/>
    <w:rsid w:val="004507DC"/>
    <w:rsid w:val="00483CDA"/>
    <w:rsid w:val="004D2BFD"/>
    <w:rsid w:val="004D4CB8"/>
    <w:rsid w:val="004E6C95"/>
    <w:rsid w:val="00500DF1"/>
    <w:rsid w:val="005163DA"/>
    <w:rsid w:val="0054672A"/>
    <w:rsid w:val="005559B1"/>
    <w:rsid w:val="00566381"/>
    <w:rsid w:val="0057065A"/>
    <w:rsid w:val="005A4BCA"/>
    <w:rsid w:val="005A727F"/>
    <w:rsid w:val="005B5BC1"/>
    <w:rsid w:val="005F52B3"/>
    <w:rsid w:val="005F679A"/>
    <w:rsid w:val="0061080E"/>
    <w:rsid w:val="006469F2"/>
    <w:rsid w:val="006510A3"/>
    <w:rsid w:val="006B0FD6"/>
    <w:rsid w:val="006C435C"/>
    <w:rsid w:val="006E0FF3"/>
    <w:rsid w:val="006F16D1"/>
    <w:rsid w:val="00704767"/>
    <w:rsid w:val="00704E8D"/>
    <w:rsid w:val="00711229"/>
    <w:rsid w:val="007456E8"/>
    <w:rsid w:val="00752174"/>
    <w:rsid w:val="007676BA"/>
    <w:rsid w:val="0079224D"/>
    <w:rsid w:val="007B00FC"/>
    <w:rsid w:val="007C2521"/>
    <w:rsid w:val="007C6839"/>
    <w:rsid w:val="007E0FAD"/>
    <w:rsid w:val="0080319F"/>
    <w:rsid w:val="008117BC"/>
    <w:rsid w:val="0082746D"/>
    <w:rsid w:val="0084025F"/>
    <w:rsid w:val="008658D4"/>
    <w:rsid w:val="008720C3"/>
    <w:rsid w:val="008914CE"/>
    <w:rsid w:val="008A71DA"/>
    <w:rsid w:val="008B3AE2"/>
    <w:rsid w:val="008E25B6"/>
    <w:rsid w:val="008F0FE2"/>
    <w:rsid w:val="008F13B5"/>
    <w:rsid w:val="00931E85"/>
    <w:rsid w:val="00946B29"/>
    <w:rsid w:val="00950F83"/>
    <w:rsid w:val="00962E94"/>
    <w:rsid w:val="00972ABD"/>
    <w:rsid w:val="00990614"/>
    <w:rsid w:val="009A795D"/>
    <w:rsid w:val="009B4745"/>
    <w:rsid w:val="009B4D0D"/>
    <w:rsid w:val="009D6E2C"/>
    <w:rsid w:val="009E4079"/>
    <w:rsid w:val="00A1729C"/>
    <w:rsid w:val="00AC7FA3"/>
    <w:rsid w:val="00AD1614"/>
    <w:rsid w:val="00AE6673"/>
    <w:rsid w:val="00AF3245"/>
    <w:rsid w:val="00AF46F6"/>
    <w:rsid w:val="00B1042C"/>
    <w:rsid w:val="00B14733"/>
    <w:rsid w:val="00B5629E"/>
    <w:rsid w:val="00B61882"/>
    <w:rsid w:val="00B815B4"/>
    <w:rsid w:val="00B95993"/>
    <w:rsid w:val="00BC1A81"/>
    <w:rsid w:val="00BC4DBC"/>
    <w:rsid w:val="00BC7879"/>
    <w:rsid w:val="00BD2AC1"/>
    <w:rsid w:val="00BD43E1"/>
    <w:rsid w:val="00BF3214"/>
    <w:rsid w:val="00C10636"/>
    <w:rsid w:val="00C277F6"/>
    <w:rsid w:val="00C2784D"/>
    <w:rsid w:val="00C50837"/>
    <w:rsid w:val="00C56621"/>
    <w:rsid w:val="00C579D4"/>
    <w:rsid w:val="00C656C2"/>
    <w:rsid w:val="00CA2431"/>
    <w:rsid w:val="00CA7EB9"/>
    <w:rsid w:val="00CC5574"/>
    <w:rsid w:val="00CF5173"/>
    <w:rsid w:val="00D04821"/>
    <w:rsid w:val="00D2604C"/>
    <w:rsid w:val="00D44B23"/>
    <w:rsid w:val="00D6776F"/>
    <w:rsid w:val="00D74CD5"/>
    <w:rsid w:val="00D763BC"/>
    <w:rsid w:val="00D80D32"/>
    <w:rsid w:val="00D96967"/>
    <w:rsid w:val="00DB4A12"/>
    <w:rsid w:val="00DC2B18"/>
    <w:rsid w:val="00DD3A85"/>
    <w:rsid w:val="00DF478A"/>
    <w:rsid w:val="00E27F6B"/>
    <w:rsid w:val="00E31C63"/>
    <w:rsid w:val="00E5749E"/>
    <w:rsid w:val="00E976FF"/>
    <w:rsid w:val="00EF35D6"/>
    <w:rsid w:val="00F02FB2"/>
    <w:rsid w:val="00F330B4"/>
    <w:rsid w:val="00FB50C2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2E26"/>
  <w15:docId w15:val="{F7E46E58-D38D-4B35-9F85-45BF75AC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4D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33A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333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33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33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33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33A4"/>
    <w:rPr>
      <w:b/>
      <w:bCs/>
      <w:sz w:val="20"/>
      <w:szCs w:val="20"/>
    </w:rPr>
  </w:style>
  <w:style w:type="table" w:styleId="ab">
    <w:name w:val="Table Grid"/>
    <w:basedOn w:val="a1"/>
    <w:uiPriority w:val="39"/>
    <w:rsid w:val="002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2202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6B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0FD6"/>
  </w:style>
  <w:style w:type="paragraph" w:styleId="ae">
    <w:name w:val="footer"/>
    <w:basedOn w:val="a"/>
    <w:link w:val="af"/>
    <w:uiPriority w:val="99"/>
    <w:unhideWhenUsed/>
    <w:rsid w:val="006B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0FD6"/>
  </w:style>
  <w:style w:type="paragraph" w:styleId="af0">
    <w:name w:val="Revision"/>
    <w:hidden/>
    <w:uiPriority w:val="99"/>
    <w:semiHidden/>
    <w:rsid w:val="0034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86E7B187FF541A6CEED6358945C0E" ma:contentTypeVersion="0" ma:contentTypeDescription="Create a new document." ma:contentTypeScope="" ma:versionID="4020ba8c54e6e513fb1b24c23e28e5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58AE2-FF1F-4FCA-8273-783FD2AB7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79CDB-A467-4C98-905B-9096069B5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19B43-BC8C-45AA-9CEC-8ACFA1AB6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C3640-0A07-4E62-B4E9-601DF551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 Щепина</dc:creator>
  <cp:lastModifiedBy>Amirzhan Aketayev</cp:lastModifiedBy>
  <cp:revision>20</cp:revision>
  <dcterms:created xsi:type="dcterms:W3CDTF">2023-06-16T11:01:00Z</dcterms:created>
  <dcterms:modified xsi:type="dcterms:W3CDTF">2023-07-04T08:57:00Z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0x010100CAB86E7B187FF541A6CEED6358945C0E</vt:lpwstr>
  </property>
</Properties>
</file>